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7739" w14:textId="7AE206D1" w:rsidR="008023FF" w:rsidRPr="004467AD" w:rsidRDefault="008023FF" w:rsidP="008023FF">
      <w:pPr>
        <w:jc w:val="center"/>
        <w:rPr>
          <w:b/>
          <w:bCs/>
          <w:i/>
          <w:iCs/>
          <w:lang w:val="es-ES"/>
        </w:rPr>
      </w:pPr>
      <w:r>
        <w:rPr>
          <w:b/>
          <w:bCs/>
          <w:i/>
          <w:iCs/>
          <w:lang w:val="es-ES"/>
        </w:rPr>
        <w:t>PACTO DE CUMPLIMIENTO 37</w:t>
      </w:r>
      <w:r w:rsidR="002D50B0">
        <w:rPr>
          <w:b/>
          <w:bCs/>
          <w:i/>
          <w:iCs/>
          <w:lang w:val="es-ES"/>
        </w:rPr>
        <w:t>5</w:t>
      </w:r>
    </w:p>
    <w:p w14:paraId="2AD46EEB" w14:textId="77777777" w:rsidR="008023FF" w:rsidRDefault="008023FF" w:rsidP="008023FF">
      <w:pPr>
        <w:jc w:val="center"/>
        <w:rPr>
          <w:b/>
          <w:bCs/>
          <w:i/>
          <w:iCs/>
          <w:lang w:val="es-ES"/>
        </w:rPr>
      </w:pPr>
      <w:r w:rsidRPr="004467AD">
        <w:rPr>
          <w:b/>
          <w:bCs/>
          <w:i/>
          <w:iCs/>
          <w:lang w:val="es-ES"/>
        </w:rPr>
        <w:t xml:space="preserve">ACCIÓN: </w:t>
      </w:r>
      <w:r w:rsidRPr="004467AD">
        <w:rPr>
          <w:b/>
          <w:bCs/>
          <w:i/>
          <w:iCs/>
          <w:lang w:val="es-ES"/>
        </w:rPr>
        <w:tab/>
      </w:r>
      <w:bookmarkStart w:id="0" w:name="_GoBack"/>
      <w:bookmarkEnd w:id="0"/>
      <w:r w:rsidRPr="0032765B">
        <w:rPr>
          <w:b/>
          <w:bCs/>
          <w:i/>
          <w:iCs/>
          <w:lang w:val="es-ES"/>
        </w:rPr>
        <w:t>PROTECCIÓN DE LOS DERECHOS E INTERESES COLECTIVOS</w:t>
      </w:r>
    </w:p>
    <w:p w14:paraId="1B599973" w14:textId="77777777" w:rsidR="006A6C2B" w:rsidRPr="006A6C2B" w:rsidRDefault="006A6C2B" w:rsidP="006A6C2B">
      <w:pPr>
        <w:spacing w:before="100" w:beforeAutospacing="1" w:after="100" w:afterAutospacing="1" w:line="240" w:lineRule="auto"/>
        <w:rPr>
          <w:rFonts w:ascii="Calibri" w:eastAsia="Times New Roman" w:hAnsi="Calibri" w:cs="Calibri"/>
          <w:sz w:val="24"/>
          <w:szCs w:val="24"/>
          <w:lang w:eastAsia="es-MX"/>
        </w:rPr>
      </w:pPr>
      <w:r w:rsidRPr="006A6C2B">
        <w:rPr>
          <w:rFonts w:ascii="Calibri" w:eastAsia="Times New Roman" w:hAnsi="Calibri" w:cs="Calibri"/>
          <w:b/>
          <w:bCs/>
          <w:sz w:val="24"/>
          <w:szCs w:val="24"/>
          <w:lang w:eastAsia="es-MX"/>
        </w:rPr>
        <w:t>Proceso y Estado del Caso Legal</w:t>
      </w:r>
    </w:p>
    <w:p w14:paraId="576098EF" w14:textId="77777777" w:rsidR="006A6C2B" w:rsidRPr="006A6C2B" w:rsidRDefault="006A6C2B" w:rsidP="00F100D0">
      <w:pPr>
        <w:spacing w:before="100" w:beforeAutospacing="1" w:after="100" w:afterAutospacing="1" w:line="240" w:lineRule="auto"/>
        <w:jc w:val="both"/>
        <w:rPr>
          <w:rFonts w:ascii="Calibri" w:eastAsia="Times New Roman" w:hAnsi="Calibri" w:cs="Calibri"/>
          <w:sz w:val="24"/>
          <w:szCs w:val="24"/>
          <w:lang w:eastAsia="es-MX"/>
        </w:rPr>
      </w:pPr>
      <w:r w:rsidRPr="006A6C2B">
        <w:rPr>
          <w:rFonts w:ascii="Calibri" w:eastAsia="Times New Roman" w:hAnsi="Calibri" w:cs="Calibri"/>
          <w:sz w:val="24"/>
          <w:szCs w:val="24"/>
          <w:lang w:eastAsia="es-MX"/>
        </w:rPr>
        <w:t>El proceso judicial involucra una acción popular para la protección de derechos colectivos en Bogotá, con múltiples actores y etapas desde 2025 hasta 2026.</w:t>
      </w:r>
    </w:p>
    <w:p w14:paraId="2FD7DF98" w14:textId="77777777" w:rsidR="006A6C2B" w:rsidRPr="006A6C2B" w:rsidRDefault="006A6C2B" w:rsidP="00F100D0">
      <w:pPr>
        <w:numPr>
          <w:ilvl w:val="0"/>
          <w:numId w:val="1"/>
        </w:numPr>
        <w:spacing w:before="100" w:beforeAutospacing="1" w:after="100" w:afterAutospacing="1" w:line="240" w:lineRule="auto"/>
        <w:jc w:val="both"/>
        <w:rPr>
          <w:rFonts w:ascii="Calibri" w:eastAsia="Times New Roman" w:hAnsi="Calibri" w:cs="Calibri"/>
          <w:sz w:val="24"/>
          <w:szCs w:val="24"/>
          <w:lang w:eastAsia="es-MX"/>
        </w:rPr>
      </w:pPr>
      <w:r w:rsidRPr="006A6C2B">
        <w:rPr>
          <w:rFonts w:ascii="Calibri" w:eastAsia="Times New Roman" w:hAnsi="Calibri" w:cs="Calibri"/>
          <w:sz w:val="24"/>
          <w:szCs w:val="24"/>
          <w:lang w:eastAsia="es-MX"/>
        </w:rPr>
        <w:t>Despacho actual: Juzgado 42 Administrativo Sección Cuarta.</w:t>
      </w:r>
    </w:p>
    <w:p w14:paraId="07A98ABC" w14:textId="77777777" w:rsidR="00F100D0" w:rsidRDefault="00F100D0" w:rsidP="00F100D0">
      <w:pPr>
        <w:numPr>
          <w:ilvl w:val="0"/>
          <w:numId w:val="1"/>
        </w:numPr>
        <w:spacing w:before="100" w:beforeAutospacing="1" w:after="100" w:afterAutospacing="1" w:line="240" w:lineRule="auto"/>
        <w:jc w:val="both"/>
        <w:rPr>
          <w:rFonts w:ascii="Calibri" w:eastAsia="Times New Roman" w:hAnsi="Calibri" w:cs="Calibri"/>
          <w:sz w:val="24"/>
          <w:szCs w:val="24"/>
          <w:lang w:eastAsia="es-MX"/>
        </w:rPr>
      </w:pPr>
      <w:r>
        <w:rPr>
          <w:rFonts w:ascii="Calibri" w:eastAsia="Times New Roman" w:hAnsi="Calibri" w:cs="Calibri"/>
          <w:sz w:val="24"/>
          <w:szCs w:val="24"/>
          <w:lang w:eastAsia="es-MX"/>
        </w:rPr>
        <w:t>Demandante</w:t>
      </w:r>
      <w:r w:rsidR="006A6C2B" w:rsidRPr="006A6C2B">
        <w:rPr>
          <w:rFonts w:ascii="Calibri" w:eastAsia="Times New Roman" w:hAnsi="Calibri" w:cs="Calibri"/>
          <w:sz w:val="24"/>
          <w:szCs w:val="24"/>
          <w:lang w:eastAsia="es-MX"/>
        </w:rPr>
        <w:t xml:space="preserve">: </w:t>
      </w:r>
      <w:r>
        <w:rPr>
          <w:rFonts w:ascii="Calibri" w:eastAsia="Times New Roman" w:hAnsi="Calibri" w:cs="Calibri"/>
          <w:sz w:val="24"/>
          <w:szCs w:val="24"/>
          <w:lang w:eastAsia="es-MX"/>
        </w:rPr>
        <w:t xml:space="preserve"> Pantano Tunjo Pedro Pablo -</w:t>
      </w:r>
      <w:r w:rsidR="006A6C2B" w:rsidRPr="006A6C2B">
        <w:rPr>
          <w:rFonts w:ascii="Calibri" w:eastAsia="Times New Roman" w:hAnsi="Calibri" w:cs="Calibri"/>
          <w:sz w:val="24"/>
          <w:szCs w:val="24"/>
          <w:lang w:eastAsia="es-MX"/>
        </w:rPr>
        <w:t>comunidad de Bosa San José Segundo Sector</w:t>
      </w:r>
    </w:p>
    <w:p w14:paraId="0E3C10D6" w14:textId="77777777" w:rsidR="006A6C2B" w:rsidRPr="006A6C2B" w:rsidRDefault="00F100D0" w:rsidP="00F100D0">
      <w:pPr>
        <w:numPr>
          <w:ilvl w:val="0"/>
          <w:numId w:val="1"/>
        </w:numPr>
        <w:spacing w:before="100" w:beforeAutospacing="1" w:after="100" w:afterAutospacing="1" w:line="240" w:lineRule="auto"/>
        <w:jc w:val="both"/>
        <w:rPr>
          <w:rFonts w:ascii="Calibri" w:eastAsia="Times New Roman" w:hAnsi="Calibri" w:cs="Calibri"/>
          <w:sz w:val="24"/>
          <w:szCs w:val="24"/>
          <w:lang w:eastAsia="es-MX"/>
        </w:rPr>
      </w:pPr>
      <w:r>
        <w:rPr>
          <w:rFonts w:ascii="Calibri" w:eastAsia="Times New Roman" w:hAnsi="Calibri" w:cs="Calibri"/>
          <w:sz w:val="24"/>
          <w:szCs w:val="24"/>
          <w:lang w:eastAsia="es-MX"/>
        </w:rPr>
        <w:t xml:space="preserve">Demandados: </w:t>
      </w:r>
      <w:r w:rsidR="006A6C2B" w:rsidRPr="00F100D0">
        <w:rPr>
          <w:rFonts w:ascii="Calibri" w:eastAsia="Times New Roman" w:hAnsi="Calibri" w:cs="Calibri"/>
          <w:sz w:val="24"/>
          <w:szCs w:val="24"/>
          <w:lang w:eastAsia="es-MX"/>
        </w:rPr>
        <w:t>IDIGER, E</w:t>
      </w:r>
      <w:r w:rsidRPr="00F100D0">
        <w:rPr>
          <w:rFonts w:ascii="Calibri" w:eastAsia="Times New Roman" w:hAnsi="Calibri" w:cs="Calibri"/>
          <w:sz w:val="24"/>
          <w:szCs w:val="24"/>
          <w:lang w:eastAsia="es-MX"/>
        </w:rPr>
        <w:t>m</w:t>
      </w:r>
      <w:r w:rsidR="006A6C2B" w:rsidRPr="00F100D0">
        <w:rPr>
          <w:rFonts w:ascii="Calibri" w:eastAsia="Times New Roman" w:hAnsi="Calibri" w:cs="Calibri"/>
          <w:sz w:val="24"/>
          <w:szCs w:val="24"/>
          <w:lang w:eastAsia="es-MX"/>
        </w:rPr>
        <w:t>presa de Acueducto y Alcantarillado de Bogotá, Secretaría Distrital de Gobierno – Alcaldía Local de Bosa, SDP</w:t>
      </w:r>
    </w:p>
    <w:p w14:paraId="315EA09C" w14:textId="04FB4608" w:rsidR="006A6C2B" w:rsidRDefault="006A6C2B" w:rsidP="006A6C2B">
      <w:pPr>
        <w:spacing w:before="100" w:beforeAutospacing="1" w:after="100" w:afterAutospacing="1" w:line="240" w:lineRule="auto"/>
        <w:rPr>
          <w:rFonts w:ascii="Calibri" w:eastAsia="Times New Roman" w:hAnsi="Calibri" w:cs="Calibri"/>
          <w:b/>
          <w:bCs/>
          <w:sz w:val="24"/>
          <w:szCs w:val="24"/>
          <w:lang w:eastAsia="es-MX"/>
        </w:rPr>
      </w:pPr>
      <w:r w:rsidRPr="006A6C2B">
        <w:rPr>
          <w:rFonts w:ascii="Calibri" w:eastAsia="Times New Roman" w:hAnsi="Calibri" w:cs="Calibri"/>
          <w:b/>
          <w:bCs/>
          <w:sz w:val="24"/>
          <w:szCs w:val="24"/>
          <w:lang w:eastAsia="es-MX"/>
        </w:rPr>
        <w:t>Derechos e Intereses Colectivos Invocados</w:t>
      </w:r>
    </w:p>
    <w:p w14:paraId="36BA4E8A" w14:textId="7DDF4E6A" w:rsidR="002D50B0" w:rsidRPr="006A6C2B" w:rsidRDefault="002D50B0" w:rsidP="002D50B0">
      <w:pPr>
        <w:autoSpaceDE w:val="0"/>
        <w:autoSpaceDN w:val="0"/>
        <w:adjustRightInd w:val="0"/>
        <w:spacing w:after="0" w:line="240" w:lineRule="auto"/>
        <w:jc w:val="both"/>
        <w:rPr>
          <w:rFonts w:ascii="Calibri" w:eastAsia="Times New Roman" w:hAnsi="Calibri" w:cs="Calibri"/>
          <w:sz w:val="24"/>
          <w:szCs w:val="24"/>
          <w:lang w:eastAsia="es-MX"/>
        </w:rPr>
      </w:pPr>
      <w:r>
        <w:rPr>
          <w:rFonts w:ascii="Calibri" w:eastAsia="Times New Roman" w:hAnsi="Calibri" w:cs="Calibri"/>
          <w:sz w:val="24"/>
          <w:szCs w:val="24"/>
          <w:lang w:eastAsia="es-MX"/>
        </w:rPr>
        <w:t>D</w:t>
      </w:r>
      <w:r w:rsidRPr="002D50B0">
        <w:rPr>
          <w:rFonts w:ascii="Calibri" w:eastAsia="Times New Roman" w:hAnsi="Calibri" w:cs="Calibri"/>
          <w:sz w:val="24"/>
          <w:szCs w:val="24"/>
          <w:lang w:eastAsia="es-MX"/>
        </w:rPr>
        <w:t>erecho colectivo - medio ambiente</w:t>
      </w:r>
      <w:r>
        <w:rPr>
          <w:rFonts w:ascii="Calibri" w:eastAsia="Times New Roman" w:hAnsi="Calibri" w:cs="Calibri"/>
          <w:sz w:val="24"/>
          <w:szCs w:val="24"/>
          <w:lang w:eastAsia="es-MX"/>
        </w:rPr>
        <w:t>;</w:t>
      </w:r>
      <w:r w:rsidRPr="002D50B0">
        <w:rPr>
          <w:rFonts w:ascii="Calibri" w:eastAsia="Times New Roman" w:hAnsi="Calibri" w:cs="Calibri"/>
          <w:sz w:val="24"/>
          <w:szCs w:val="24"/>
          <w:lang w:eastAsia="es-MX"/>
        </w:rPr>
        <w:t xml:space="preserve"> medio ambiente</w:t>
      </w:r>
      <w:r>
        <w:rPr>
          <w:rFonts w:ascii="Calibri" w:eastAsia="Times New Roman" w:hAnsi="Calibri" w:cs="Calibri"/>
          <w:sz w:val="24"/>
          <w:szCs w:val="24"/>
          <w:lang w:eastAsia="es-MX"/>
        </w:rPr>
        <w:t xml:space="preserve"> </w:t>
      </w:r>
      <w:r w:rsidRPr="002D50B0">
        <w:rPr>
          <w:rFonts w:ascii="Calibri" w:eastAsia="Times New Roman" w:hAnsi="Calibri" w:cs="Calibri"/>
          <w:sz w:val="24"/>
          <w:szCs w:val="24"/>
          <w:lang w:eastAsia="es-MX"/>
        </w:rPr>
        <w:t>agua</w:t>
      </w:r>
      <w:r>
        <w:rPr>
          <w:rFonts w:ascii="Calibri" w:eastAsia="Times New Roman" w:hAnsi="Calibri" w:cs="Calibri"/>
          <w:sz w:val="24"/>
          <w:szCs w:val="24"/>
          <w:lang w:eastAsia="es-MX"/>
        </w:rPr>
        <w:t>;</w:t>
      </w:r>
      <w:r w:rsidRPr="002D50B0">
        <w:rPr>
          <w:rFonts w:ascii="Calibri" w:eastAsia="Times New Roman" w:hAnsi="Calibri" w:cs="Calibri"/>
          <w:sz w:val="24"/>
          <w:szCs w:val="24"/>
          <w:lang w:eastAsia="es-MX"/>
        </w:rPr>
        <w:t xml:space="preserve"> medio ambiente humedales</w:t>
      </w:r>
      <w:r>
        <w:rPr>
          <w:rFonts w:ascii="Arial" w:hAnsi="Arial" w:cs="Arial"/>
          <w:sz w:val="16"/>
          <w:szCs w:val="16"/>
        </w:rPr>
        <w:t>.</w:t>
      </w:r>
    </w:p>
    <w:p w14:paraId="3DE02279" w14:textId="77777777" w:rsidR="002D50B0" w:rsidRDefault="002D50B0" w:rsidP="002D50B0">
      <w:pPr>
        <w:autoSpaceDE w:val="0"/>
        <w:autoSpaceDN w:val="0"/>
        <w:adjustRightInd w:val="0"/>
        <w:spacing w:after="0" w:line="240" w:lineRule="auto"/>
        <w:jc w:val="both"/>
        <w:rPr>
          <w:rFonts w:ascii="Calibri" w:eastAsia="Times New Roman" w:hAnsi="Calibri" w:cs="Calibri"/>
          <w:sz w:val="24"/>
          <w:szCs w:val="24"/>
          <w:lang w:eastAsia="es-MX"/>
        </w:rPr>
      </w:pPr>
    </w:p>
    <w:p w14:paraId="073F9F11" w14:textId="0407E4C6" w:rsidR="002D50B0" w:rsidRDefault="002D50B0" w:rsidP="002D50B0">
      <w:pPr>
        <w:autoSpaceDE w:val="0"/>
        <w:autoSpaceDN w:val="0"/>
        <w:adjustRightInd w:val="0"/>
        <w:spacing w:after="0" w:line="240" w:lineRule="auto"/>
        <w:jc w:val="both"/>
        <w:rPr>
          <w:rFonts w:ascii="Arial" w:hAnsi="Arial" w:cs="Arial"/>
          <w:sz w:val="24"/>
          <w:szCs w:val="24"/>
        </w:rPr>
      </w:pPr>
      <w:r>
        <w:rPr>
          <w:rFonts w:ascii="Calibri" w:eastAsia="Times New Roman" w:hAnsi="Calibri" w:cs="Calibri"/>
          <w:sz w:val="24"/>
          <w:szCs w:val="24"/>
          <w:lang w:eastAsia="es-MX"/>
        </w:rPr>
        <w:t>L</w:t>
      </w:r>
      <w:r w:rsidRPr="002D50B0">
        <w:rPr>
          <w:rFonts w:ascii="Calibri" w:eastAsia="Times New Roman" w:hAnsi="Calibri" w:cs="Calibri"/>
          <w:sz w:val="24"/>
          <w:szCs w:val="24"/>
          <w:lang w:eastAsia="es-MX"/>
        </w:rPr>
        <w:t>a acción popular está enfocada en la protección integral</w:t>
      </w:r>
      <w:r>
        <w:rPr>
          <w:rFonts w:ascii="Calibri" w:eastAsia="Times New Roman" w:hAnsi="Calibri" w:cs="Calibri"/>
          <w:sz w:val="24"/>
          <w:szCs w:val="24"/>
          <w:lang w:eastAsia="es-MX"/>
        </w:rPr>
        <w:t xml:space="preserve"> </w:t>
      </w:r>
      <w:r w:rsidRPr="002D50B0">
        <w:rPr>
          <w:rFonts w:ascii="Calibri" w:eastAsia="Times New Roman" w:hAnsi="Calibri" w:cs="Calibri"/>
          <w:sz w:val="24"/>
          <w:szCs w:val="24"/>
          <w:lang w:eastAsia="es-MX"/>
        </w:rPr>
        <w:t>de la cuenca del Río Torca</w:t>
      </w:r>
      <w:r>
        <w:rPr>
          <w:rFonts w:ascii="Calibri" w:eastAsia="Times New Roman" w:hAnsi="Calibri" w:cs="Calibri"/>
          <w:sz w:val="24"/>
          <w:szCs w:val="24"/>
          <w:lang w:eastAsia="es-MX"/>
        </w:rPr>
        <w:t xml:space="preserve"> </w:t>
      </w:r>
      <w:r w:rsidRPr="002D50B0">
        <w:rPr>
          <w:rFonts w:ascii="Calibri" w:eastAsia="Times New Roman" w:hAnsi="Calibri" w:cs="Calibri"/>
          <w:sz w:val="24"/>
          <w:szCs w:val="24"/>
          <w:lang w:eastAsia="es-MX"/>
        </w:rPr>
        <w:t>(localidades de Suba y Usaquén) incluido el humedal Torca</w:t>
      </w:r>
      <w:r>
        <w:rPr>
          <w:rFonts w:ascii="Calibri" w:eastAsia="Times New Roman" w:hAnsi="Calibri" w:cs="Calibri"/>
          <w:sz w:val="24"/>
          <w:szCs w:val="24"/>
          <w:lang w:eastAsia="es-MX"/>
        </w:rPr>
        <w:t xml:space="preserve"> </w:t>
      </w:r>
      <w:r w:rsidRPr="002D50B0">
        <w:rPr>
          <w:rFonts w:ascii="Calibri" w:eastAsia="Times New Roman" w:hAnsi="Calibri" w:cs="Calibri"/>
          <w:sz w:val="24"/>
          <w:szCs w:val="24"/>
          <w:lang w:eastAsia="es-MX"/>
        </w:rPr>
        <w:t>y Guaymaral y 129 cuerpos de agua más, la conexión biológica de la cuenca con los</w:t>
      </w:r>
      <w:r>
        <w:rPr>
          <w:rFonts w:ascii="Calibri" w:eastAsia="Times New Roman" w:hAnsi="Calibri" w:cs="Calibri"/>
          <w:sz w:val="24"/>
          <w:szCs w:val="24"/>
          <w:lang w:eastAsia="es-MX"/>
        </w:rPr>
        <w:t xml:space="preserve"> </w:t>
      </w:r>
      <w:r w:rsidRPr="002D50B0">
        <w:rPr>
          <w:rFonts w:ascii="Calibri" w:eastAsia="Times New Roman" w:hAnsi="Calibri" w:cs="Calibri"/>
          <w:sz w:val="24"/>
          <w:szCs w:val="24"/>
          <w:lang w:eastAsia="es-MX"/>
        </w:rPr>
        <w:t>cerros orientales, la Reserva Forestal Thomas Van Der Hammen- RTVDH, el Río</w:t>
      </w:r>
      <w:r>
        <w:rPr>
          <w:rFonts w:ascii="Calibri" w:eastAsia="Times New Roman" w:hAnsi="Calibri" w:cs="Calibri"/>
          <w:sz w:val="24"/>
          <w:szCs w:val="24"/>
          <w:lang w:eastAsia="es-MX"/>
        </w:rPr>
        <w:t xml:space="preserve"> </w:t>
      </w:r>
      <w:r w:rsidRPr="002D50B0">
        <w:rPr>
          <w:rFonts w:ascii="Calibri" w:eastAsia="Times New Roman" w:hAnsi="Calibri" w:cs="Calibri"/>
          <w:sz w:val="24"/>
          <w:szCs w:val="24"/>
          <w:lang w:eastAsia="es-MX"/>
        </w:rPr>
        <w:t>Bogotá y todos los humedales y cuerpos de agua no reconocidos en esta área</w:t>
      </w:r>
      <w:r>
        <w:rPr>
          <w:rFonts w:ascii="Arial" w:hAnsi="Arial" w:cs="Arial"/>
          <w:sz w:val="24"/>
          <w:szCs w:val="24"/>
        </w:rPr>
        <w:t>.</w:t>
      </w:r>
    </w:p>
    <w:p w14:paraId="4CB178E9" w14:textId="77777777" w:rsidR="002D50B0" w:rsidRDefault="002D50B0" w:rsidP="002D50B0">
      <w:pPr>
        <w:pStyle w:val="jot-paragraph-element"/>
        <w:rPr>
          <w:rFonts w:ascii="adobe-clean" w:hAnsi="adobe-clean"/>
        </w:rPr>
      </w:pPr>
      <w:r>
        <w:rPr>
          <w:rStyle w:val="Textoennegrita"/>
          <w:rFonts w:ascii="adobe-clean" w:hAnsi="adobe-clean"/>
        </w:rPr>
        <w:t>Pretensiones y solicitudes de la demanda</w:t>
      </w:r>
    </w:p>
    <w:p w14:paraId="4F785F41" w14:textId="22C72F4A" w:rsidR="002D50B0" w:rsidRDefault="002D50B0" w:rsidP="002D50B0">
      <w:pPr>
        <w:pStyle w:val="jot-paragraph-element"/>
        <w:jc w:val="both"/>
        <w:rPr>
          <w:rFonts w:ascii="adobe-clean" w:hAnsi="adobe-clean"/>
        </w:rPr>
      </w:pPr>
      <w:r>
        <w:rPr>
          <w:rFonts w:ascii="adobe-clean" w:hAnsi="adobe-clean"/>
        </w:rPr>
        <w:t xml:space="preserve">Se pide reglamentar el artículo 61 de la Ley 99 de 1993, declarar zonas de restauración ambiental, proteger humedales no reconocidos, restaurar quebradas afectadas, modificar el POT para evitar urbanización en zonas de riesgo, y garantizar planes de saneamiento y conectividad ecológica en la Cuenca del Torca, priorizando la protección de fauna y </w:t>
      </w:r>
      <w:r>
        <w:rPr>
          <w:rFonts w:ascii="adobe-clean" w:hAnsi="adobe-clean"/>
        </w:rPr>
        <w:t>ecosistemas.</w:t>
      </w:r>
      <w:r>
        <w:rPr>
          <w:rFonts w:ascii="Tahoma" w:hAnsi="Tahoma" w:cs="Tahoma"/>
        </w:rPr>
        <w:t xml:space="preserve"> ﻿</w:t>
      </w:r>
    </w:p>
    <w:p w14:paraId="449B21B2" w14:textId="1A97F4EF" w:rsidR="006A6C2B" w:rsidRPr="006A6C2B" w:rsidRDefault="006A6C2B" w:rsidP="002D50B0">
      <w:pPr>
        <w:spacing w:before="100" w:beforeAutospacing="1" w:after="100" w:afterAutospacing="1" w:line="240" w:lineRule="auto"/>
        <w:jc w:val="both"/>
        <w:rPr>
          <w:rFonts w:ascii="Calibri" w:eastAsia="Times New Roman" w:hAnsi="Calibri" w:cs="Calibri"/>
          <w:sz w:val="24"/>
          <w:szCs w:val="24"/>
          <w:lang w:eastAsia="es-MX"/>
        </w:rPr>
      </w:pPr>
      <w:r w:rsidRPr="006A6C2B">
        <w:rPr>
          <w:rFonts w:ascii="Calibri" w:eastAsia="Times New Roman" w:hAnsi="Calibri" w:cs="Calibri"/>
          <w:b/>
          <w:bCs/>
          <w:sz w:val="24"/>
          <w:szCs w:val="24"/>
          <w:lang w:eastAsia="es-MX"/>
        </w:rPr>
        <w:t>Análisis Jurídico y Procedimental</w:t>
      </w:r>
      <w:r w:rsidR="00E7688E">
        <w:rPr>
          <w:rFonts w:ascii="Calibri" w:eastAsia="Times New Roman" w:hAnsi="Calibri" w:cs="Calibri"/>
          <w:b/>
          <w:bCs/>
          <w:sz w:val="24"/>
          <w:szCs w:val="24"/>
          <w:lang w:eastAsia="es-MX"/>
        </w:rPr>
        <w:t xml:space="preserve"> SDP</w:t>
      </w:r>
    </w:p>
    <w:p w14:paraId="65E182A0" w14:textId="13C1DF75" w:rsidR="002D50B0" w:rsidRDefault="002D50B0" w:rsidP="002D50B0">
      <w:pPr>
        <w:pStyle w:val="jot-paragraph-element"/>
        <w:jc w:val="both"/>
        <w:rPr>
          <w:rFonts w:ascii="Tahoma" w:hAnsi="Tahoma" w:cs="Tahoma"/>
        </w:rPr>
      </w:pPr>
      <w:r>
        <w:rPr>
          <w:rFonts w:ascii="adobe-clean" w:hAnsi="adobe-clean"/>
        </w:rPr>
        <w:t xml:space="preserve">Las Secretarías Distritales de Ambiente y Planeación, y otras entidades como la CAR y la EAAB, tienen funciones específicas en ordenamiento territorial, protección ambiental, saneamiento y gestión de recursos, y no están legitimadas para asumir funciones que corresponden a otras autoridades o para modificar proyectos o normativas sin los estudios técnicos y procedimientos legales </w:t>
      </w:r>
      <w:r>
        <w:rPr>
          <w:rFonts w:ascii="adobe-clean" w:hAnsi="adobe-clean"/>
        </w:rPr>
        <w:t>adecuados.</w:t>
      </w:r>
      <w:r>
        <w:rPr>
          <w:rFonts w:ascii="Tahoma" w:hAnsi="Tahoma" w:cs="Tahoma"/>
        </w:rPr>
        <w:t xml:space="preserve"> ﻿</w:t>
      </w:r>
    </w:p>
    <w:p w14:paraId="77101D42" w14:textId="77777777" w:rsidR="002D50B0" w:rsidRDefault="002D50B0" w:rsidP="002D50B0">
      <w:pPr>
        <w:pStyle w:val="jot-paragraph-element"/>
        <w:jc w:val="both"/>
        <w:rPr>
          <w:rFonts w:ascii="adobe-clean" w:hAnsi="adobe-clean"/>
        </w:rPr>
      </w:pPr>
      <w:r>
        <w:rPr>
          <w:rFonts w:ascii="adobe-clean" w:hAnsi="adobe-clean"/>
        </w:rPr>
        <w:t xml:space="preserve">Las decisiones judiciales no pueden imponer la incorporación de áreas no reconocidas oficialmente como humedales, ni modificar el POT vigente, ya que ello requiere procedimientos técnicos, normativos y de concertación ambiental, respetando la </w:t>
      </w:r>
      <w:r>
        <w:rPr>
          <w:rFonts w:ascii="adobe-clean" w:hAnsi="adobe-clean"/>
        </w:rPr>
        <w:lastRenderedPageBreak/>
        <w:t>competencia de las autoridades y la normativa vigente, como el Decreto 88 de 2017 y el Decreto 555 de 2021.</w:t>
      </w:r>
    </w:p>
    <w:p w14:paraId="792622E6" w14:textId="77777777" w:rsidR="002D50B0" w:rsidRDefault="002D50B0" w:rsidP="002D50B0">
      <w:pPr>
        <w:pStyle w:val="jot-paragraph-element"/>
        <w:rPr>
          <w:rFonts w:ascii="adobe-clean" w:hAnsi="adobe-clean"/>
        </w:rPr>
      </w:pPr>
      <w:r>
        <w:rPr>
          <w:rStyle w:val="Textoennegrita"/>
          <w:rFonts w:ascii="adobe-clean" w:hAnsi="adobe-clean"/>
        </w:rPr>
        <w:t>Competencias y acciones de la Secretaría de Planeación</w:t>
      </w:r>
    </w:p>
    <w:p w14:paraId="4715DC06" w14:textId="77777777" w:rsidR="002D50B0" w:rsidRDefault="002D50B0" w:rsidP="002D50B0">
      <w:pPr>
        <w:pStyle w:val="jot-paragraph-element"/>
        <w:rPr>
          <w:rFonts w:ascii="adobe-clean" w:hAnsi="adobe-clean"/>
        </w:rPr>
      </w:pPr>
      <w:r>
        <w:rPr>
          <w:rFonts w:ascii="adobe-clean" w:hAnsi="adobe-clean"/>
        </w:rPr>
        <w:t>La Secretaría de Planeación formula y coordina políticas de ordenamiento territorial, garantizando el desarrollo ordenado y la protección ambiental.</w:t>
      </w:r>
    </w:p>
    <w:p w14:paraId="2CA69F6F" w14:textId="77777777" w:rsidR="002D50B0" w:rsidRDefault="002D50B0" w:rsidP="00216023">
      <w:pPr>
        <w:pStyle w:val="jot-list-item-element"/>
        <w:numPr>
          <w:ilvl w:val="0"/>
          <w:numId w:val="14"/>
        </w:numPr>
        <w:jc w:val="both"/>
        <w:rPr>
          <w:rFonts w:ascii="adobe-clean" w:hAnsi="adobe-clean"/>
        </w:rPr>
      </w:pPr>
      <w:r>
        <w:rPr>
          <w:rFonts w:ascii="adobe-clean" w:hAnsi="adobe-clean"/>
        </w:rPr>
        <w:t>Ejerce funciones de formulación, orientación y coordinación del desarrollo territorial, social y ambiental.</w:t>
      </w:r>
    </w:p>
    <w:p w14:paraId="0F3F2338" w14:textId="77777777" w:rsidR="002D50B0" w:rsidRDefault="002D50B0" w:rsidP="00216023">
      <w:pPr>
        <w:pStyle w:val="jot-list-item-element"/>
        <w:numPr>
          <w:ilvl w:val="0"/>
          <w:numId w:val="14"/>
        </w:numPr>
        <w:jc w:val="both"/>
        <w:rPr>
          <w:rFonts w:ascii="adobe-clean" w:hAnsi="adobe-clean"/>
        </w:rPr>
      </w:pPr>
      <w:r>
        <w:rPr>
          <w:rFonts w:ascii="adobe-clean" w:hAnsi="adobe-clean"/>
        </w:rPr>
        <w:t>La Ley 388 de 1997 y el Decreto 648 de 2025 regulan sus competencias.</w:t>
      </w:r>
    </w:p>
    <w:p w14:paraId="0436D02C" w14:textId="77777777" w:rsidR="002D50B0" w:rsidRDefault="002D50B0" w:rsidP="00216023">
      <w:pPr>
        <w:pStyle w:val="jot-list-item-element"/>
        <w:numPr>
          <w:ilvl w:val="0"/>
          <w:numId w:val="14"/>
        </w:numPr>
        <w:jc w:val="both"/>
        <w:rPr>
          <w:rFonts w:ascii="adobe-clean" w:hAnsi="adobe-clean"/>
        </w:rPr>
      </w:pPr>
      <w:r>
        <w:rPr>
          <w:rFonts w:ascii="adobe-clean" w:hAnsi="adobe-clean"/>
        </w:rPr>
        <w:t>La Reserva Distrital de Humedal Torca-Guaymaral está incorporada en el POT mediante el Decreto 555 de 2021.</w:t>
      </w:r>
    </w:p>
    <w:p w14:paraId="45DCDDA2" w14:textId="77777777" w:rsidR="002D50B0" w:rsidRDefault="002D50B0" w:rsidP="00216023">
      <w:pPr>
        <w:pStyle w:val="jot-list-item-element"/>
        <w:numPr>
          <w:ilvl w:val="0"/>
          <w:numId w:val="14"/>
        </w:numPr>
        <w:jc w:val="both"/>
        <w:rPr>
          <w:rFonts w:ascii="adobe-clean" w:hAnsi="adobe-clean"/>
        </w:rPr>
      </w:pPr>
      <w:r>
        <w:rPr>
          <w:rFonts w:ascii="adobe-clean" w:hAnsi="adobe-clean"/>
        </w:rPr>
        <w:t>La declaración y delimitación de humedales corresponde a las autoridades ambientales, no a Planeación.</w:t>
      </w:r>
    </w:p>
    <w:p w14:paraId="452F6BCA" w14:textId="77777777" w:rsidR="002D50B0" w:rsidRDefault="002D50B0" w:rsidP="00216023">
      <w:pPr>
        <w:pStyle w:val="jot-list-item-element"/>
        <w:numPr>
          <w:ilvl w:val="0"/>
          <w:numId w:val="14"/>
        </w:numPr>
        <w:jc w:val="both"/>
        <w:rPr>
          <w:rFonts w:ascii="adobe-clean" w:hAnsi="adobe-clean"/>
        </w:rPr>
      </w:pPr>
      <w:r>
        <w:rPr>
          <w:rFonts w:ascii="adobe-clean" w:hAnsi="adobe-clean"/>
        </w:rPr>
        <w:t>La Secretaría no puede modificar cartografía de áreas protegidas sin declaración formal de las autoridades ambientales.</w:t>
      </w:r>
    </w:p>
    <w:p w14:paraId="4746F95A" w14:textId="18D6EA7D" w:rsidR="002D50B0" w:rsidRDefault="002D50B0" w:rsidP="00216023">
      <w:pPr>
        <w:pStyle w:val="jot-list-item-element"/>
        <w:numPr>
          <w:ilvl w:val="0"/>
          <w:numId w:val="14"/>
        </w:numPr>
        <w:jc w:val="both"/>
        <w:rPr>
          <w:rFonts w:ascii="adobe-clean" w:hAnsi="adobe-clean"/>
        </w:rPr>
      </w:pPr>
      <w:r>
        <w:rPr>
          <w:rFonts w:ascii="adobe-clean" w:hAnsi="adobe-clean"/>
        </w:rPr>
        <w:t xml:space="preserve">La normativa de protección ambiental, como la Resolución 157 de 2004, regula la gestión de </w:t>
      </w:r>
      <w:r w:rsidR="00216023">
        <w:rPr>
          <w:rFonts w:ascii="adobe-clean" w:hAnsi="adobe-clean"/>
        </w:rPr>
        <w:t>humedales.</w:t>
      </w:r>
      <w:r w:rsidR="00216023">
        <w:rPr>
          <w:rFonts w:ascii="Tahoma" w:hAnsi="Tahoma" w:cs="Tahoma"/>
        </w:rPr>
        <w:t xml:space="preserve"> ﻿</w:t>
      </w:r>
    </w:p>
    <w:p w14:paraId="08D8CACA" w14:textId="77777777" w:rsidR="002D50B0" w:rsidRDefault="002D50B0" w:rsidP="00216023">
      <w:pPr>
        <w:pStyle w:val="jot-list-item-element"/>
        <w:numPr>
          <w:ilvl w:val="0"/>
          <w:numId w:val="14"/>
        </w:numPr>
        <w:jc w:val="both"/>
        <w:rPr>
          <w:rFonts w:ascii="adobe-clean" w:hAnsi="adobe-clean"/>
        </w:rPr>
      </w:pPr>
      <w:r>
        <w:rPr>
          <w:rFonts w:ascii="adobe-clean" w:hAnsi="adobe-clean"/>
        </w:rPr>
        <w:t>La gestión del riesgo y la protección de ecosistemas se realiza en coordinación con las autoridades ambientales.</w:t>
      </w:r>
    </w:p>
    <w:p w14:paraId="7FE859BB" w14:textId="77777777" w:rsidR="002D50B0" w:rsidRDefault="002D50B0" w:rsidP="00216023">
      <w:pPr>
        <w:pStyle w:val="jot-list-item-element"/>
        <w:numPr>
          <w:ilvl w:val="0"/>
          <w:numId w:val="14"/>
        </w:numPr>
        <w:jc w:val="both"/>
        <w:rPr>
          <w:rFonts w:ascii="adobe-clean" w:hAnsi="adobe-clean"/>
        </w:rPr>
      </w:pPr>
      <w:r>
        <w:rPr>
          <w:rFonts w:ascii="adobe-clean" w:hAnsi="adobe-clean"/>
        </w:rPr>
        <w:t>La concertación ambiental en el POT y en el POZ ha sido adecuada y previa a las decisiones.</w:t>
      </w:r>
    </w:p>
    <w:p w14:paraId="0FC75D89" w14:textId="7F3F94AE" w:rsidR="002D50B0" w:rsidRDefault="002D50B0" w:rsidP="00216023">
      <w:pPr>
        <w:pStyle w:val="jot-list-item-element"/>
        <w:numPr>
          <w:ilvl w:val="0"/>
          <w:numId w:val="14"/>
        </w:numPr>
        <w:jc w:val="both"/>
        <w:rPr>
          <w:rFonts w:ascii="adobe-clean" w:hAnsi="adobe-clean"/>
        </w:rPr>
      </w:pPr>
      <w:r>
        <w:rPr>
          <w:rFonts w:ascii="adobe-clean" w:hAnsi="adobe-clean"/>
        </w:rPr>
        <w:t xml:space="preserve">La incorporación del POZ "Ciudad Lagos de Torca" respeta la estructura ecológica y los lineamientos </w:t>
      </w:r>
      <w:r w:rsidR="00216023">
        <w:rPr>
          <w:rFonts w:ascii="adobe-clean" w:hAnsi="adobe-clean"/>
        </w:rPr>
        <w:t>ambientales.</w:t>
      </w:r>
      <w:r w:rsidR="00216023">
        <w:rPr>
          <w:rFonts w:ascii="Tahoma" w:hAnsi="Tahoma" w:cs="Tahoma"/>
        </w:rPr>
        <w:t xml:space="preserve"> ﻿</w:t>
      </w:r>
    </w:p>
    <w:p w14:paraId="6E5C1B52" w14:textId="77777777" w:rsidR="002D50B0" w:rsidRDefault="002D50B0" w:rsidP="00216023">
      <w:pPr>
        <w:pStyle w:val="jot-list-item-element"/>
        <w:numPr>
          <w:ilvl w:val="0"/>
          <w:numId w:val="14"/>
        </w:numPr>
        <w:jc w:val="both"/>
        <w:rPr>
          <w:rFonts w:ascii="adobe-clean" w:hAnsi="adobe-clean"/>
        </w:rPr>
      </w:pPr>
      <w:r>
        <w:rPr>
          <w:rFonts w:ascii="adobe-clean" w:hAnsi="adobe-clean"/>
        </w:rPr>
        <w:t>La normativa vigente, como el Decreto 088 de 2017, regula el desarrollo urbanístico en la zona.</w:t>
      </w:r>
    </w:p>
    <w:p w14:paraId="5E910EBA" w14:textId="77777777" w:rsidR="002D50B0" w:rsidRDefault="002D50B0" w:rsidP="002D50B0">
      <w:pPr>
        <w:pStyle w:val="jot-list-item-element"/>
        <w:numPr>
          <w:ilvl w:val="0"/>
          <w:numId w:val="14"/>
        </w:numPr>
        <w:rPr>
          <w:rFonts w:ascii="adobe-clean" w:hAnsi="adobe-clean"/>
        </w:rPr>
      </w:pPr>
      <w:r>
        <w:rPr>
          <w:rFonts w:ascii="adobe-clean" w:hAnsi="adobe-clean"/>
        </w:rPr>
        <w:t>La Secretaría afirma que no existen afectaciones ambientales ni riesgos que justifiquen cambios sin declaración formal.</w:t>
      </w:r>
    </w:p>
    <w:p w14:paraId="7DEECBCF" w14:textId="77777777" w:rsidR="002D50B0" w:rsidRDefault="002D50B0" w:rsidP="002D50B0">
      <w:pPr>
        <w:pStyle w:val="jot-list-item-element"/>
        <w:numPr>
          <w:ilvl w:val="0"/>
          <w:numId w:val="14"/>
        </w:numPr>
        <w:rPr>
          <w:rFonts w:ascii="adobe-clean" w:hAnsi="adobe-clean"/>
        </w:rPr>
      </w:pPr>
      <w:r>
        <w:rPr>
          <w:rFonts w:ascii="adobe-clean" w:hAnsi="adobe-clean"/>
        </w:rPr>
        <w:t>La protección de humedales y cuerpos de agua requiere declaración oficial y procedimientos específicos.</w:t>
      </w:r>
    </w:p>
    <w:p w14:paraId="04E9AB13" w14:textId="77777777" w:rsidR="002D50B0" w:rsidRDefault="002D50B0" w:rsidP="002D50B0">
      <w:pPr>
        <w:pStyle w:val="jot-paragraph-element"/>
        <w:rPr>
          <w:rFonts w:ascii="adobe-clean" w:hAnsi="adobe-clean"/>
        </w:rPr>
      </w:pPr>
      <w:r>
        <w:rPr>
          <w:rStyle w:val="Textoennegrita"/>
          <w:rFonts w:ascii="adobe-clean" w:hAnsi="adobe-clean"/>
        </w:rPr>
        <w:t>Legitimación y competencias de las entidades</w:t>
      </w:r>
    </w:p>
    <w:p w14:paraId="1354A8FC" w14:textId="77777777" w:rsidR="002D50B0" w:rsidRDefault="002D50B0" w:rsidP="00216023">
      <w:pPr>
        <w:pStyle w:val="jot-paragraph-element"/>
        <w:jc w:val="both"/>
        <w:rPr>
          <w:rFonts w:ascii="adobe-clean" w:hAnsi="adobe-clean"/>
        </w:rPr>
      </w:pPr>
      <w:r>
        <w:rPr>
          <w:rFonts w:ascii="adobe-clean" w:hAnsi="adobe-clean"/>
        </w:rPr>
        <w:t xml:space="preserve">Se concluye que las entidades demandadas han actuado dentro de sus competencias y no son responsables por pretensiones que exceden sus funciones. - La Secretaría Distrital de Ambiente actúa como autoridad ambiental en el área urbana, conforme a la Ley 99 de 1993. - No tiene competencia para modificar el POT, ejecutar obras urbanísticas, gestionar infraestructura hidráulica o intervenir en proyectos de planeación territorial. - Las actuaciones relacionadas con el Plan de Ordenamiento Zonal del Norte y Lagos de Torca corresponden a otros actores, como el Fideicomiso Lagos de Torca. - La actualización del Plan de Manejo Ambiental del humedal no afecta la formulación o viabilidad de planes parciales o proyectos urbanísticos. - La Secretaría no puede ser llamada a responder por obligaciones urbanísticas, hidráulicas, de infraestructura o gestión del riesgo que corresponden a otros actores. - Se prueba la falta de legitimación material en pretensiones que no corresponden a las funciones </w:t>
      </w:r>
      <w:r>
        <w:rPr>
          <w:rFonts w:ascii="adobe-clean" w:hAnsi="adobe-clean"/>
        </w:rPr>
        <w:lastRenderedPageBreak/>
        <w:t>propias de la autoridad ambiental. - Cualquier orden judicial que pretenda imponer obligaciones fuera de sus competencias debe ser negada.</w:t>
      </w:r>
    </w:p>
    <w:p w14:paraId="4B9C9BBF" w14:textId="77777777" w:rsidR="00E700BA" w:rsidRDefault="00E700BA" w:rsidP="00E700BA">
      <w:pPr>
        <w:spacing w:before="100" w:beforeAutospacing="1" w:after="100" w:afterAutospacing="1" w:line="240" w:lineRule="auto"/>
        <w:rPr>
          <w:rFonts w:ascii="Calibri" w:eastAsia="Times New Roman" w:hAnsi="Calibri" w:cs="Calibri"/>
          <w:b/>
          <w:bCs/>
          <w:sz w:val="24"/>
          <w:szCs w:val="24"/>
          <w:lang w:eastAsia="es-MX"/>
        </w:rPr>
      </w:pPr>
      <w:r w:rsidRPr="001752F2">
        <w:rPr>
          <w:rFonts w:ascii="Calibri" w:eastAsia="Times New Roman" w:hAnsi="Calibri" w:cs="Calibri"/>
          <w:b/>
          <w:bCs/>
          <w:sz w:val="24"/>
          <w:szCs w:val="24"/>
          <w:lang w:eastAsia="es-MX"/>
        </w:rPr>
        <w:t>Recomendación</w:t>
      </w:r>
    </w:p>
    <w:p w14:paraId="520FCAD9" w14:textId="77777777" w:rsidR="00E700BA" w:rsidRDefault="00E700BA" w:rsidP="00E700BA">
      <w:pPr>
        <w:spacing w:before="100" w:beforeAutospacing="1" w:after="100" w:afterAutospacing="1" w:line="240" w:lineRule="auto"/>
        <w:rPr>
          <w:rFonts w:ascii="Calibri" w:eastAsia="Times New Roman" w:hAnsi="Calibri" w:cs="Calibri"/>
          <w:sz w:val="24"/>
          <w:szCs w:val="24"/>
          <w:lang w:eastAsia="es-MX"/>
        </w:rPr>
      </w:pPr>
      <w:r w:rsidRPr="001752F2">
        <w:rPr>
          <w:rFonts w:ascii="Calibri" w:eastAsia="Times New Roman" w:hAnsi="Calibri" w:cs="Calibri"/>
          <w:sz w:val="24"/>
          <w:szCs w:val="24"/>
          <w:lang w:eastAsia="es-MX"/>
        </w:rPr>
        <w:t>NO presentar fórmula de Pacto de cumplimiento.</w:t>
      </w:r>
    </w:p>
    <w:p w14:paraId="42E5D1AE" w14:textId="77777777" w:rsidR="00E700BA" w:rsidRPr="0035357B" w:rsidRDefault="00E700BA" w:rsidP="00E700BA">
      <w:pPr>
        <w:rPr>
          <w:b/>
          <w:bCs/>
        </w:rPr>
      </w:pPr>
      <w:r w:rsidRPr="0035357B">
        <w:rPr>
          <w:b/>
          <w:bCs/>
        </w:rPr>
        <w:t>SGI</w:t>
      </w:r>
    </w:p>
    <w:p w14:paraId="05A9DACE" w14:textId="77777777" w:rsidR="00E700BA" w:rsidRPr="00E700BA" w:rsidRDefault="00E700BA" w:rsidP="00E700BA">
      <w:pPr>
        <w:jc w:val="both"/>
        <w:rPr>
          <w:rFonts w:ascii="Calibri" w:eastAsia="Times New Roman" w:hAnsi="Calibri" w:cs="Calibri"/>
          <w:sz w:val="24"/>
          <w:szCs w:val="24"/>
          <w:lang w:eastAsia="es-MX"/>
        </w:rPr>
      </w:pPr>
      <w:r w:rsidRPr="00E700BA">
        <w:rPr>
          <w:rFonts w:ascii="Calibri" w:eastAsia="Times New Roman" w:hAnsi="Calibri" w:cs="Calibri"/>
          <w:sz w:val="24"/>
          <w:szCs w:val="24"/>
          <w:lang w:eastAsia="es-MX"/>
        </w:rPr>
        <w:t>Acoger recomendación del apoderado</w:t>
      </w:r>
    </w:p>
    <w:p w14:paraId="280A40EE" w14:textId="77777777" w:rsidR="008023FF" w:rsidRPr="00E700BA" w:rsidRDefault="008023FF" w:rsidP="001752F2">
      <w:pPr>
        <w:spacing w:before="100" w:beforeAutospacing="1" w:after="100" w:afterAutospacing="1" w:line="240" w:lineRule="auto"/>
        <w:rPr>
          <w:rFonts w:ascii="Calibri" w:eastAsia="Times New Roman" w:hAnsi="Calibri" w:cs="Calibri"/>
          <w:sz w:val="24"/>
          <w:szCs w:val="24"/>
          <w:lang w:eastAsia="es-MX"/>
        </w:rPr>
      </w:pPr>
    </w:p>
    <w:sectPr w:rsidR="008023FF" w:rsidRPr="00E700B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clean">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5A1"/>
    <w:multiLevelType w:val="multilevel"/>
    <w:tmpl w:val="623C17F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 w15:restartNumberingAfterBreak="0">
    <w:nsid w:val="0DDE3FA9"/>
    <w:multiLevelType w:val="multilevel"/>
    <w:tmpl w:val="0A581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BC669E"/>
    <w:multiLevelType w:val="multilevel"/>
    <w:tmpl w:val="360C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851D78"/>
    <w:multiLevelType w:val="multilevel"/>
    <w:tmpl w:val="5628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910459"/>
    <w:multiLevelType w:val="multilevel"/>
    <w:tmpl w:val="D6A6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965458"/>
    <w:multiLevelType w:val="multilevel"/>
    <w:tmpl w:val="14B8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5760F"/>
    <w:multiLevelType w:val="multilevel"/>
    <w:tmpl w:val="B922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1A29BF"/>
    <w:multiLevelType w:val="multilevel"/>
    <w:tmpl w:val="77E4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C30BA4"/>
    <w:multiLevelType w:val="multilevel"/>
    <w:tmpl w:val="752A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100980"/>
    <w:multiLevelType w:val="multilevel"/>
    <w:tmpl w:val="3DF2F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1A6E38"/>
    <w:multiLevelType w:val="multilevel"/>
    <w:tmpl w:val="5358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5646F8"/>
    <w:multiLevelType w:val="multilevel"/>
    <w:tmpl w:val="B4A0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7C29D7"/>
    <w:multiLevelType w:val="multilevel"/>
    <w:tmpl w:val="C48E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EE0FF5"/>
    <w:multiLevelType w:val="multilevel"/>
    <w:tmpl w:val="B6CE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7A1048"/>
    <w:multiLevelType w:val="multilevel"/>
    <w:tmpl w:val="BC38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9"/>
  </w:num>
  <w:num w:numId="4">
    <w:abstractNumId w:val="4"/>
  </w:num>
  <w:num w:numId="5">
    <w:abstractNumId w:val="14"/>
  </w:num>
  <w:num w:numId="6">
    <w:abstractNumId w:val="6"/>
  </w:num>
  <w:num w:numId="7">
    <w:abstractNumId w:val="3"/>
  </w:num>
  <w:num w:numId="8">
    <w:abstractNumId w:val="13"/>
  </w:num>
  <w:num w:numId="9">
    <w:abstractNumId w:val="8"/>
  </w:num>
  <w:num w:numId="10">
    <w:abstractNumId w:val="0"/>
  </w:num>
  <w:num w:numId="11">
    <w:abstractNumId w:val="7"/>
  </w:num>
  <w:num w:numId="12">
    <w:abstractNumId w:val="11"/>
  </w:num>
  <w:num w:numId="13">
    <w:abstractNumId w:val="5"/>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C2B"/>
    <w:rsid w:val="001752F2"/>
    <w:rsid w:val="00216023"/>
    <w:rsid w:val="002D50B0"/>
    <w:rsid w:val="00415040"/>
    <w:rsid w:val="006458FE"/>
    <w:rsid w:val="0066045D"/>
    <w:rsid w:val="006A6C2B"/>
    <w:rsid w:val="008023FF"/>
    <w:rsid w:val="009E4492"/>
    <w:rsid w:val="00E700BA"/>
    <w:rsid w:val="00E7688E"/>
    <w:rsid w:val="00F100D0"/>
    <w:rsid w:val="00FD5A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30ED"/>
  <w15:chartTrackingRefBased/>
  <w15:docId w15:val="{A8142686-CF4B-4F06-A9FB-6902129E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A6C2B"/>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6A6C2B"/>
    <w:rPr>
      <w:b/>
      <w:bCs/>
    </w:rPr>
  </w:style>
  <w:style w:type="paragraph" w:customStyle="1" w:styleId="jot-paragraph-element">
    <w:name w:val="jot-paragraph-element"/>
    <w:basedOn w:val="Normal"/>
    <w:rsid w:val="002D50B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jot-list-item-element">
    <w:name w:val="jot-list-item-element"/>
    <w:basedOn w:val="Normal"/>
    <w:rsid w:val="002D50B0"/>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247236">
      <w:bodyDiv w:val="1"/>
      <w:marLeft w:val="0"/>
      <w:marRight w:val="0"/>
      <w:marTop w:val="0"/>
      <w:marBottom w:val="0"/>
      <w:divBdr>
        <w:top w:val="none" w:sz="0" w:space="0" w:color="auto"/>
        <w:left w:val="none" w:sz="0" w:space="0" w:color="auto"/>
        <w:bottom w:val="none" w:sz="0" w:space="0" w:color="auto"/>
        <w:right w:val="none" w:sz="0" w:space="0" w:color="auto"/>
      </w:divBdr>
      <w:divsChild>
        <w:div w:id="1936597305">
          <w:marLeft w:val="0"/>
          <w:marRight w:val="0"/>
          <w:marTop w:val="0"/>
          <w:marBottom w:val="0"/>
          <w:divBdr>
            <w:top w:val="none" w:sz="0" w:space="0" w:color="auto"/>
            <w:left w:val="none" w:sz="0" w:space="0" w:color="auto"/>
            <w:bottom w:val="none" w:sz="0" w:space="0" w:color="auto"/>
            <w:right w:val="none" w:sz="0" w:space="0" w:color="auto"/>
          </w:divBdr>
          <w:divsChild>
            <w:div w:id="1000620640">
              <w:marLeft w:val="0"/>
              <w:marRight w:val="0"/>
              <w:marTop w:val="0"/>
              <w:marBottom w:val="0"/>
              <w:divBdr>
                <w:top w:val="none" w:sz="0" w:space="0" w:color="auto"/>
                <w:left w:val="none" w:sz="0" w:space="0" w:color="auto"/>
                <w:bottom w:val="none" w:sz="0" w:space="0" w:color="auto"/>
                <w:right w:val="none" w:sz="0" w:space="0" w:color="auto"/>
              </w:divBdr>
              <w:divsChild>
                <w:div w:id="428425389">
                  <w:marLeft w:val="0"/>
                  <w:marRight w:val="0"/>
                  <w:marTop w:val="0"/>
                  <w:marBottom w:val="0"/>
                  <w:divBdr>
                    <w:top w:val="none" w:sz="0" w:space="0" w:color="auto"/>
                    <w:left w:val="none" w:sz="0" w:space="0" w:color="auto"/>
                    <w:bottom w:val="none" w:sz="0" w:space="0" w:color="auto"/>
                    <w:right w:val="none" w:sz="0" w:space="0" w:color="auto"/>
                  </w:divBdr>
                  <w:divsChild>
                    <w:div w:id="12849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946756">
      <w:bodyDiv w:val="1"/>
      <w:marLeft w:val="0"/>
      <w:marRight w:val="0"/>
      <w:marTop w:val="0"/>
      <w:marBottom w:val="0"/>
      <w:divBdr>
        <w:top w:val="none" w:sz="0" w:space="0" w:color="auto"/>
        <w:left w:val="none" w:sz="0" w:space="0" w:color="auto"/>
        <w:bottom w:val="none" w:sz="0" w:space="0" w:color="auto"/>
        <w:right w:val="none" w:sz="0" w:space="0" w:color="auto"/>
      </w:divBdr>
      <w:divsChild>
        <w:div w:id="220096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6509d10-09f4-40df-aeb9-f16fbe2adcb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AD972FC6D15F94588703F0D5700E608" ma:contentTypeVersion="14" ma:contentTypeDescription="Crear nuevo documento." ma:contentTypeScope="" ma:versionID="8f171cfba0724832de785a5f855dd3bd">
  <xsd:schema xmlns:xsd="http://www.w3.org/2001/XMLSchema" xmlns:xs="http://www.w3.org/2001/XMLSchema" xmlns:p="http://schemas.microsoft.com/office/2006/metadata/properties" xmlns:ns3="e6509d10-09f4-40df-aeb9-f16fbe2adcb4" xmlns:ns4="7c4457df-e0c3-4fe4-96dd-399cc96b9f8f" targetNamespace="http://schemas.microsoft.com/office/2006/metadata/properties" ma:root="true" ma:fieldsID="90167b9e46d986e68f08b33ba976a4fb" ns3:_="" ns4:_="">
    <xsd:import namespace="e6509d10-09f4-40df-aeb9-f16fbe2adcb4"/>
    <xsd:import namespace="7c4457df-e0c3-4fe4-96dd-399cc96b9f8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09d10-09f4-40df-aeb9-f16fbe2adcb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4457df-e0c3-4fe4-96dd-399cc96b9f8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AA266-947F-4BA2-9B40-EA341E300BE9}">
  <ds:schemaRefs>
    <ds:schemaRef ds:uri="http://schemas.microsoft.com/office/2006/documentManagement/types"/>
    <ds:schemaRef ds:uri="http://schemas.microsoft.com/office/2006/metadata/properties"/>
    <ds:schemaRef ds:uri="http://purl.org/dc/dcmitype/"/>
    <ds:schemaRef ds:uri="7c4457df-e0c3-4fe4-96dd-399cc96b9f8f"/>
    <ds:schemaRef ds:uri="e6509d10-09f4-40df-aeb9-f16fbe2adcb4"/>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D9C201D-0ED3-444A-8C8B-C850ACE21AA7}">
  <ds:schemaRefs>
    <ds:schemaRef ds:uri="http://schemas.microsoft.com/sharepoint/v3/contenttype/forms"/>
  </ds:schemaRefs>
</ds:datastoreItem>
</file>

<file path=customXml/itemProps3.xml><?xml version="1.0" encoding="utf-8"?>
<ds:datastoreItem xmlns:ds="http://schemas.openxmlformats.org/officeDocument/2006/customXml" ds:itemID="{677CB245-978F-49F9-A627-C08AF864A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09d10-09f4-40df-aeb9-f16fbe2adcb4"/>
    <ds:schemaRef ds:uri="7c4457df-e0c3-4fe4-96dd-399cc96b9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765</Words>
  <Characters>4211</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Beatriz Ramirez Arena</dc:creator>
  <cp:keywords/>
  <dc:description/>
  <cp:lastModifiedBy>Claudia Beatriz Ramirez Arena</cp:lastModifiedBy>
  <cp:revision>8</cp:revision>
  <dcterms:created xsi:type="dcterms:W3CDTF">2026-05-12T22:16:00Z</dcterms:created>
  <dcterms:modified xsi:type="dcterms:W3CDTF">2026-05-12T22:29:00Z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0x010100AAD972FC6D15F94588703F0D5700E608</vt:lpwstr>
  </property>
</Properties>
</file>